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FD" w:rsidRDefault="00C731FD" w:rsidP="00C731FD">
      <w:pPr>
        <w:pStyle w:val="Standard"/>
        <w:spacing w:before="227" w:after="57" w:line="276" w:lineRule="auto"/>
        <w:jc w:val="right"/>
        <w:rPr>
          <w:rFonts w:ascii="Cambria" w:hAnsi="Cambria" w:cs="Arial"/>
        </w:rPr>
      </w:pPr>
      <w:r w:rsidRPr="00481E88">
        <w:rPr>
          <w:rFonts w:ascii="Cambria" w:hAnsi="Cambria" w:cs="Arial"/>
        </w:rPr>
        <w:t>Montevideo, 19 de febrero de 2024</w:t>
      </w:r>
    </w:p>
    <w:p w:rsidR="00C731FD" w:rsidRPr="00481E88" w:rsidRDefault="00C731FD" w:rsidP="00C731FD">
      <w:pPr>
        <w:pStyle w:val="Standard"/>
        <w:spacing w:before="227" w:after="57" w:line="276" w:lineRule="auto"/>
        <w:jc w:val="right"/>
        <w:rPr>
          <w:rFonts w:ascii="Cambria" w:hAnsi="Cambria" w:cs="Arial"/>
        </w:rPr>
      </w:pPr>
    </w:p>
    <w:p w:rsidR="00C731FD" w:rsidRDefault="00C731FD" w:rsidP="00C731FD">
      <w:pPr>
        <w:pStyle w:val="Standard"/>
        <w:spacing w:before="227"/>
        <w:ind w:firstLine="720"/>
        <w:contextualSpacing/>
        <w:jc w:val="both"/>
        <w:rPr>
          <w:rFonts w:ascii="Cambria" w:hAnsi="Cambria" w:cs="Arial"/>
        </w:rPr>
      </w:pPr>
      <w:r w:rsidRPr="00481E88">
        <w:rPr>
          <w:rFonts w:ascii="Cambria" w:hAnsi="Cambria" w:cs="Arial"/>
        </w:rPr>
        <w:t xml:space="preserve">La Asociación de Afiliados de la Caja de Jubilaciones y Pensiones de Profesionales Universitarios, ha realizado un análisis de las distintas propuestas de los varios gremios que han estado trabajando respecto de la situación de Caja de Profesionales Universitarios, incluidas las de nuestra </w:t>
      </w:r>
      <w:r>
        <w:rPr>
          <w:rFonts w:ascii="Cambria" w:hAnsi="Cambria" w:cs="Arial"/>
        </w:rPr>
        <w:t>A</w:t>
      </w:r>
      <w:r w:rsidRPr="00481E88">
        <w:rPr>
          <w:rFonts w:ascii="Cambria" w:hAnsi="Cambria" w:cs="Arial"/>
        </w:rPr>
        <w:t xml:space="preserve">sociación.  </w:t>
      </w:r>
    </w:p>
    <w:p w:rsidR="00C731FD" w:rsidRDefault="00C731FD" w:rsidP="00C731FD">
      <w:pPr>
        <w:pStyle w:val="Standard"/>
        <w:spacing w:before="227"/>
        <w:ind w:firstLine="720"/>
        <w:contextualSpacing/>
        <w:jc w:val="both"/>
        <w:rPr>
          <w:rFonts w:ascii="Cambria" w:hAnsi="Cambria" w:cs="Arial"/>
        </w:rPr>
      </w:pPr>
    </w:p>
    <w:p w:rsidR="00C731FD" w:rsidRDefault="00C731FD" w:rsidP="00C731FD">
      <w:pPr>
        <w:pStyle w:val="Standard"/>
        <w:ind w:firstLine="720"/>
        <w:contextualSpacing/>
        <w:jc w:val="both"/>
        <w:rPr>
          <w:rFonts w:ascii="Cambria" w:hAnsi="Cambria" w:cs="Arial"/>
        </w:rPr>
      </w:pPr>
      <w:r w:rsidRPr="00481E88">
        <w:rPr>
          <w:rFonts w:ascii="Cambria" w:hAnsi="Cambria" w:cs="Arial"/>
        </w:rPr>
        <w:t>Una vez analizadas las presentadas, hasta el momento, por los representantes gremiales, hemos detectado una serie de propuestas de reforma de nuestra ley orgánica  y reivindicaciones comunes y que por tanto se incluyen en este documento.</w:t>
      </w:r>
    </w:p>
    <w:p w:rsidR="00C731FD" w:rsidRPr="00481E88" w:rsidRDefault="00C731FD" w:rsidP="00C731FD">
      <w:pPr>
        <w:pStyle w:val="Standard"/>
        <w:contextualSpacing/>
        <w:jc w:val="both"/>
        <w:rPr>
          <w:rFonts w:ascii="Cambria" w:hAnsi="Cambria" w:cs="Arial"/>
        </w:rPr>
      </w:pPr>
      <w:r>
        <w:rPr>
          <w:rFonts w:ascii="Cambria" w:hAnsi="Cambria" w:cs="Arial"/>
        </w:rPr>
        <w:tab/>
      </w:r>
    </w:p>
    <w:p w:rsidR="00C731FD" w:rsidRPr="00481E88" w:rsidRDefault="00C731FD" w:rsidP="00C731FD">
      <w:pPr>
        <w:pStyle w:val="Standard"/>
        <w:ind w:firstLine="706"/>
        <w:contextualSpacing/>
        <w:jc w:val="both"/>
        <w:rPr>
          <w:rFonts w:ascii="Cambria" w:hAnsi="Cambria" w:cs="Arial"/>
        </w:rPr>
      </w:pPr>
      <w:r w:rsidRPr="00481E88">
        <w:rPr>
          <w:rFonts w:ascii="Cambria" w:hAnsi="Cambria" w:cs="Arial"/>
        </w:rPr>
        <w:t xml:space="preserve">1º) Se reclama que el IASS, </w:t>
      </w:r>
      <w:r w:rsidRPr="002D1CFC">
        <w:rPr>
          <w:rFonts w:ascii="Cambria" w:hAnsi="Cambria" w:cs="Arial"/>
        </w:rPr>
        <w:t>retenido</w:t>
      </w:r>
      <w:r w:rsidRPr="00481E88">
        <w:rPr>
          <w:rFonts w:ascii="Cambria" w:hAnsi="Cambria" w:cs="Arial"/>
        </w:rPr>
        <w:t xml:space="preserve"> por la Caja de Jubilaciones Profesionales de las pasividades </w:t>
      </w:r>
      <w:r w:rsidRPr="002D1CFC">
        <w:rPr>
          <w:rFonts w:ascii="Cambria" w:hAnsi="Cambria" w:cs="Arial"/>
        </w:rPr>
        <w:t>que sirve,</w:t>
      </w:r>
      <w:r w:rsidRPr="00481E88">
        <w:rPr>
          <w:rFonts w:ascii="Cambria" w:hAnsi="Cambria" w:cs="Arial"/>
        </w:rPr>
        <w:t xml:space="preserve"> </w:t>
      </w:r>
      <w:r w:rsidRPr="002D1CFC">
        <w:rPr>
          <w:rFonts w:ascii="Cambria" w:hAnsi="Cambria" w:cs="Arial"/>
        </w:rPr>
        <w:t>debe quedar en el patrimonio de la CJPPU</w:t>
      </w:r>
      <w:r w:rsidRPr="00481E88">
        <w:rPr>
          <w:rFonts w:ascii="Cambria" w:hAnsi="Cambria" w:cs="Arial"/>
        </w:rPr>
        <w:t xml:space="preserve"> </w:t>
      </w:r>
      <w:r w:rsidRPr="002D1CFC">
        <w:rPr>
          <w:rFonts w:ascii="Cambria" w:hAnsi="Cambria" w:cs="Arial"/>
        </w:rPr>
        <w:t>por así disponerlo en forma expresa</w:t>
      </w:r>
      <w:r w:rsidRPr="00481E88">
        <w:rPr>
          <w:rFonts w:ascii="Cambria" w:hAnsi="Cambria" w:cs="Arial"/>
        </w:rPr>
        <w:t xml:space="preserve"> </w:t>
      </w:r>
      <w:r w:rsidRPr="002D1CFC">
        <w:rPr>
          <w:rFonts w:ascii="Cambria" w:hAnsi="Cambria" w:cs="Arial"/>
        </w:rPr>
        <w:t>el constituyente cuando ordena que los tributos establecidos por ley quedan afectados a los fines establecidos en el  artículo 67 de la Constitución, que en el caso de la CJPPU es el pago de las jubilaciones y pensiones</w:t>
      </w:r>
      <w:r w:rsidRPr="00481E88">
        <w:rPr>
          <w:rFonts w:ascii="Cambria" w:hAnsi="Cambria" w:cs="Arial"/>
        </w:rPr>
        <w:t xml:space="preserve">. </w:t>
      </w:r>
    </w:p>
    <w:p w:rsidR="00C731FD" w:rsidRPr="00481E88" w:rsidRDefault="00C731FD" w:rsidP="00C731FD">
      <w:pPr>
        <w:pStyle w:val="Standard"/>
        <w:ind w:firstLine="706"/>
        <w:contextualSpacing/>
        <w:jc w:val="both"/>
        <w:rPr>
          <w:rFonts w:ascii="Cambria" w:hAnsi="Cambria" w:cs="Arial"/>
        </w:rPr>
      </w:pPr>
    </w:p>
    <w:p w:rsidR="00C731FD" w:rsidRPr="00481E88" w:rsidRDefault="00C731FD" w:rsidP="00C731FD">
      <w:pPr>
        <w:pStyle w:val="Standard"/>
        <w:ind w:firstLine="706"/>
        <w:contextualSpacing/>
        <w:jc w:val="both"/>
        <w:rPr>
          <w:rFonts w:ascii="Cambria" w:hAnsi="Cambria" w:cs="Arial"/>
        </w:rPr>
      </w:pPr>
      <w:r w:rsidRPr="002D1CFC">
        <w:rPr>
          <w:rFonts w:ascii="Cambria" w:hAnsi="Cambria" w:cs="Arial"/>
        </w:rPr>
        <w:t xml:space="preserve">Por ello, la Caja es la única legitimada para reclamar judicialmente la responsabilidad del Estado por la omisión legislativa prevista en el artículo 14 de la ley 18.314.  </w:t>
      </w:r>
    </w:p>
    <w:p w:rsidR="00C731FD" w:rsidRPr="002D1CFC" w:rsidRDefault="00C731FD" w:rsidP="00C731FD">
      <w:pPr>
        <w:pStyle w:val="Standard"/>
        <w:ind w:firstLine="706"/>
        <w:contextualSpacing/>
        <w:jc w:val="both"/>
        <w:rPr>
          <w:rFonts w:ascii="Cambria" w:hAnsi="Cambria" w:cs="Arial"/>
        </w:rPr>
      </w:pPr>
    </w:p>
    <w:p w:rsidR="00C731FD" w:rsidRPr="00481E88" w:rsidRDefault="00C731FD" w:rsidP="00C731FD">
      <w:pPr>
        <w:pStyle w:val="Standard"/>
        <w:ind w:firstLine="706"/>
        <w:contextualSpacing/>
        <w:jc w:val="both"/>
        <w:rPr>
          <w:rFonts w:ascii="Cambria" w:hAnsi="Cambria" w:cs="Arial"/>
        </w:rPr>
      </w:pPr>
      <w:r w:rsidRPr="002D1CFC">
        <w:rPr>
          <w:rFonts w:ascii="Cambria" w:hAnsi="Cambria" w:cs="Arial"/>
        </w:rPr>
        <w:t>Corresponde que sean los gremios o subsidiariamente la Asociación de Afiliados a Caja Profesional, los que reclamen al Directorio de la CJPPU que demande judicialmente dichos recursos financieros, subsanando la omisión padecida por todos los Directorios desde el 2008 a la fecha.</w:t>
      </w:r>
      <w:r w:rsidRPr="00481E88">
        <w:rPr>
          <w:rFonts w:ascii="Cambria" w:hAnsi="Cambria" w:cs="Arial"/>
        </w:rPr>
        <w:t xml:space="preserve"> </w:t>
      </w:r>
    </w:p>
    <w:p w:rsidR="00C731FD" w:rsidRPr="00481E88" w:rsidRDefault="00C731FD" w:rsidP="00C731FD">
      <w:pPr>
        <w:pStyle w:val="Standard"/>
        <w:ind w:firstLine="706"/>
        <w:contextualSpacing/>
        <w:jc w:val="both"/>
        <w:rPr>
          <w:rFonts w:ascii="Cambria" w:hAnsi="Cambria" w:cs="Arial"/>
        </w:rPr>
      </w:pPr>
    </w:p>
    <w:p w:rsidR="00C731FD" w:rsidRPr="00481E88" w:rsidRDefault="00C731FD" w:rsidP="00C731FD">
      <w:pPr>
        <w:pStyle w:val="Standard"/>
        <w:ind w:firstLine="706"/>
        <w:contextualSpacing/>
        <w:jc w:val="both"/>
        <w:rPr>
          <w:rFonts w:ascii="Cambria" w:hAnsi="Cambria" w:cs="Arial"/>
        </w:rPr>
      </w:pPr>
      <w:r w:rsidRPr="002D1CFC">
        <w:rPr>
          <w:rFonts w:ascii="Cambria" w:hAnsi="Cambria" w:cs="Arial"/>
        </w:rPr>
        <w:t>El monto de estos daños y perjuicios permitiría liberar la utilización de las reservas en el pago de las prestaciones de jubilación y pensión, sin tener que aumentar el aporte de los activos.</w:t>
      </w:r>
      <w:r w:rsidRPr="00481E88">
        <w:rPr>
          <w:rFonts w:ascii="Cambria" w:hAnsi="Cambria" w:cs="Arial"/>
        </w:rPr>
        <w:t xml:space="preserve"> </w:t>
      </w:r>
    </w:p>
    <w:p w:rsidR="00C731FD" w:rsidRPr="00481E88" w:rsidRDefault="00C731FD" w:rsidP="00C731FD">
      <w:pPr>
        <w:pStyle w:val="Standard"/>
        <w:ind w:firstLine="706"/>
        <w:contextualSpacing/>
        <w:jc w:val="both"/>
        <w:rPr>
          <w:rFonts w:ascii="Cambria" w:hAnsi="Cambria" w:cs="Arial"/>
        </w:rPr>
      </w:pPr>
    </w:p>
    <w:p w:rsidR="00C731FD" w:rsidRPr="00481E88" w:rsidRDefault="00C731FD" w:rsidP="00C731FD">
      <w:pPr>
        <w:pStyle w:val="Standard"/>
        <w:ind w:firstLine="706"/>
        <w:contextualSpacing/>
        <w:jc w:val="both"/>
        <w:rPr>
          <w:rFonts w:ascii="Cambria" w:hAnsi="Cambria" w:cs="Arial"/>
        </w:rPr>
      </w:pPr>
      <w:r w:rsidRPr="00481E88">
        <w:rPr>
          <w:rFonts w:ascii="Cambria" w:hAnsi="Cambria" w:cs="Arial"/>
        </w:rPr>
        <w:t>En este sentido</w:t>
      </w:r>
      <w:r>
        <w:rPr>
          <w:rFonts w:ascii="Cambria" w:hAnsi="Cambria" w:cs="Arial"/>
        </w:rPr>
        <w:t>,</w:t>
      </w:r>
      <w:r w:rsidRPr="00481E88">
        <w:rPr>
          <w:rFonts w:ascii="Cambria" w:hAnsi="Cambria" w:cs="Arial"/>
        </w:rPr>
        <w:t xml:space="preserve"> es fundamental señalar que desde hace meses se viene anunciando que las reservas de la Caja Profesional darán para pagar las pasividades profesionales hasta el año 2025.</w:t>
      </w:r>
    </w:p>
    <w:p w:rsidR="00C731FD" w:rsidRPr="00481E88" w:rsidRDefault="00C731FD" w:rsidP="00C731FD">
      <w:pPr>
        <w:pStyle w:val="Standard"/>
        <w:contextualSpacing/>
        <w:jc w:val="both"/>
        <w:rPr>
          <w:rFonts w:ascii="Cambria" w:hAnsi="Cambria" w:cs="Arial"/>
        </w:rPr>
      </w:pPr>
    </w:p>
    <w:p w:rsidR="00C731FD" w:rsidRPr="00481E88" w:rsidRDefault="00C731FD" w:rsidP="00C731FD">
      <w:pPr>
        <w:pStyle w:val="Standard"/>
        <w:ind w:firstLine="706"/>
        <w:contextualSpacing/>
        <w:jc w:val="both"/>
        <w:rPr>
          <w:rFonts w:ascii="Cambria" w:hAnsi="Cambria" w:cs="Arial"/>
        </w:rPr>
      </w:pPr>
      <w:r w:rsidRPr="00481E88">
        <w:rPr>
          <w:rFonts w:ascii="Cambria" w:hAnsi="Cambria" w:cs="Arial"/>
        </w:rPr>
        <w:t>Este reclamo ha sido común a los siguientes gremios: SAU, 30/3/23;Asociación Odontológica, enero/2024; Colegio de Contadores, 6/3/23, AUDU; Orden Profesional, Profesionales Independientes, Asociación de Afiliados de la Caja de Jubilaciones y Pensiones de Profesionales Universitarios,Sindicato Médico del Uruguay, 18/4/23.</w:t>
      </w:r>
    </w:p>
    <w:p w:rsidR="00C731FD" w:rsidRPr="00481E88" w:rsidRDefault="00C731FD" w:rsidP="00C731FD">
      <w:pPr>
        <w:pStyle w:val="Standard"/>
        <w:contextualSpacing/>
        <w:jc w:val="both"/>
        <w:rPr>
          <w:rFonts w:ascii="Cambria" w:hAnsi="Cambria" w:cs="Arial"/>
        </w:rPr>
      </w:pPr>
    </w:p>
    <w:p w:rsidR="00C731FD" w:rsidRDefault="00C731FD" w:rsidP="00C731FD">
      <w:pPr>
        <w:pStyle w:val="Standard"/>
        <w:contextualSpacing/>
        <w:jc w:val="both"/>
        <w:rPr>
          <w:rFonts w:ascii="Cambria" w:hAnsi="Cambria" w:cs="Arial"/>
        </w:rPr>
      </w:pPr>
      <w:r w:rsidRPr="00481E88">
        <w:rPr>
          <w:rFonts w:ascii="Cambria" w:hAnsi="Cambria" w:cs="Arial"/>
        </w:rPr>
        <w:tab/>
        <w:t>2</w:t>
      </w:r>
      <w:r>
        <w:rPr>
          <w:rFonts w:ascii="Cambria" w:hAnsi="Cambria" w:cs="Arial"/>
        </w:rPr>
        <w:t>º</w:t>
      </w:r>
      <w:r w:rsidRPr="00481E88">
        <w:rPr>
          <w:rFonts w:ascii="Cambria" w:hAnsi="Cambria" w:cs="Arial"/>
        </w:rPr>
        <w:t>) Mantener el aporte personal de los activos en el 16,5% como hasta el 31 de diciembre de 2023.</w:t>
      </w:r>
    </w:p>
    <w:p w:rsidR="00C731FD" w:rsidRDefault="00C731FD" w:rsidP="00C731FD">
      <w:pPr>
        <w:pStyle w:val="Standard"/>
        <w:contextualSpacing/>
        <w:jc w:val="both"/>
        <w:rPr>
          <w:rFonts w:ascii="Cambria" w:hAnsi="Cambria" w:cs="Arial"/>
        </w:rPr>
      </w:pPr>
    </w:p>
    <w:p w:rsidR="00C731FD" w:rsidRDefault="00C731FD" w:rsidP="00C731FD">
      <w:pPr>
        <w:pStyle w:val="Standard"/>
        <w:contextualSpacing/>
        <w:jc w:val="both"/>
        <w:rPr>
          <w:rFonts w:ascii="Cambria" w:hAnsi="Cambria" w:cs="Arial"/>
        </w:rPr>
      </w:pPr>
    </w:p>
    <w:p w:rsidR="00C731FD" w:rsidRDefault="00C731FD" w:rsidP="00C731FD">
      <w:pPr>
        <w:pStyle w:val="Standard"/>
        <w:contextualSpacing/>
        <w:jc w:val="both"/>
        <w:rPr>
          <w:rFonts w:ascii="Cambria" w:hAnsi="Cambria" w:cs="Arial"/>
        </w:rPr>
      </w:pPr>
    </w:p>
    <w:p w:rsidR="00C731FD" w:rsidRDefault="00C731FD" w:rsidP="00C731FD">
      <w:pPr>
        <w:pStyle w:val="Standard"/>
        <w:contextualSpacing/>
        <w:jc w:val="both"/>
        <w:rPr>
          <w:rFonts w:ascii="Cambria" w:hAnsi="Cambria" w:cs="Arial"/>
        </w:rPr>
      </w:pPr>
    </w:p>
    <w:p w:rsidR="00C731FD" w:rsidRPr="00481E88" w:rsidRDefault="00C731FD" w:rsidP="00C731FD">
      <w:pPr>
        <w:pStyle w:val="Standard"/>
        <w:contextualSpacing/>
        <w:jc w:val="both"/>
        <w:rPr>
          <w:rFonts w:ascii="Cambria" w:hAnsi="Cambria" w:cs="Arial"/>
        </w:rPr>
      </w:pPr>
    </w:p>
    <w:p w:rsidR="00C731FD" w:rsidRDefault="00C731FD" w:rsidP="00C731FD">
      <w:pPr>
        <w:pStyle w:val="Standard"/>
        <w:contextualSpacing/>
        <w:jc w:val="both"/>
        <w:rPr>
          <w:rFonts w:ascii="Cambria" w:hAnsi="Cambria" w:cs="Arial"/>
        </w:rPr>
      </w:pPr>
    </w:p>
    <w:p w:rsidR="00C731FD" w:rsidRPr="00481E88" w:rsidRDefault="00C731FD" w:rsidP="00C731FD">
      <w:pPr>
        <w:pStyle w:val="Standard"/>
        <w:contextualSpacing/>
        <w:jc w:val="both"/>
        <w:rPr>
          <w:rFonts w:ascii="Cambria" w:hAnsi="Cambria" w:cs="Arial"/>
        </w:rPr>
      </w:pPr>
      <w:r w:rsidRPr="00481E88">
        <w:rPr>
          <w:rFonts w:ascii="Cambria" w:hAnsi="Cambria" w:cs="Arial"/>
        </w:rPr>
        <w:tab/>
        <w:t>3</w:t>
      </w:r>
      <w:r>
        <w:rPr>
          <w:rFonts w:ascii="Cambria" w:hAnsi="Cambria" w:cs="Arial"/>
        </w:rPr>
        <w:t>º</w:t>
      </w:r>
      <w:r w:rsidRPr="00481E88">
        <w:rPr>
          <w:rFonts w:ascii="Cambria" w:hAnsi="Cambria" w:cs="Arial"/>
        </w:rPr>
        <w:t xml:space="preserve">) Rechazar la rebaja encubierta de pasividades actuales y futuras imponiendo una contribución a los pasivos de la CJPPU sobre sumas </w:t>
      </w:r>
      <w:r w:rsidRPr="008A6431">
        <w:rPr>
          <w:rFonts w:ascii="Cambria" w:hAnsi="Cambria" w:cs="Arial"/>
        </w:rPr>
        <w:t>que se superponen inconstitucionalmente al IASS por gravar la misma capacidad contributiva</w:t>
      </w:r>
      <w:r w:rsidRPr="00481E88">
        <w:rPr>
          <w:rFonts w:ascii="Cambria" w:hAnsi="Cambria" w:cs="Arial"/>
        </w:rPr>
        <w:t xml:space="preserve"> de quienes perciben jubilaciones y pensiones de profesionales universitarios. </w:t>
      </w:r>
    </w:p>
    <w:p w:rsidR="00C731FD" w:rsidRPr="00481E88" w:rsidRDefault="00C731FD" w:rsidP="00C731FD">
      <w:pPr>
        <w:pStyle w:val="Standard"/>
        <w:contextualSpacing/>
        <w:jc w:val="both"/>
        <w:rPr>
          <w:rFonts w:ascii="Cambria" w:hAnsi="Cambria" w:cs="Arial"/>
        </w:rPr>
      </w:pPr>
    </w:p>
    <w:p w:rsidR="00C731FD" w:rsidRPr="00481E88" w:rsidRDefault="00C731FD" w:rsidP="00C731FD">
      <w:pPr>
        <w:pStyle w:val="Standard"/>
        <w:contextualSpacing/>
        <w:jc w:val="both"/>
        <w:rPr>
          <w:rFonts w:ascii="Cambria" w:hAnsi="Cambria" w:cs="Arial"/>
        </w:rPr>
      </w:pPr>
      <w:r w:rsidRPr="00481E88">
        <w:rPr>
          <w:rFonts w:ascii="Cambria" w:hAnsi="Cambria" w:cs="Arial"/>
        </w:rPr>
        <w:tab/>
        <w:t>4</w:t>
      </w:r>
      <w:r>
        <w:rPr>
          <w:rFonts w:ascii="Cambria" w:hAnsi="Cambria" w:cs="Arial"/>
        </w:rPr>
        <w:t>º</w:t>
      </w:r>
      <w:r w:rsidRPr="00481E88">
        <w:rPr>
          <w:rFonts w:ascii="Cambria" w:hAnsi="Cambria" w:cs="Arial"/>
        </w:rPr>
        <w:t>) Aumento de base de aportantes, como ya se hizo con otras cajas paraestatales. Incluyendo en Caja Profesional a todos los profesionales universitarios independientemente de la f</w:t>
      </w:r>
      <w:r>
        <w:rPr>
          <w:rFonts w:ascii="Cambria" w:hAnsi="Cambria" w:cs="Arial"/>
        </w:rPr>
        <w:t>orma como ejerzan su profesion.</w:t>
      </w:r>
    </w:p>
    <w:p w:rsidR="00C731FD" w:rsidRPr="00481E88" w:rsidRDefault="00C731FD" w:rsidP="00C731FD">
      <w:pPr>
        <w:pStyle w:val="Standard"/>
        <w:contextualSpacing/>
        <w:jc w:val="both"/>
        <w:rPr>
          <w:rFonts w:ascii="Cambria" w:hAnsi="Cambria" w:cs="Arial"/>
        </w:rPr>
      </w:pPr>
    </w:p>
    <w:p w:rsidR="00C731FD" w:rsidRPr="00481E88" w:rsidRDefault="00C731FD" w:rsidP="00C731FD">
      <w:pPr>
        <w:pStyle w:val="Standard"/>
        <w:contextualSpacing/>
        <w:jc w:val="both"/>
        <w:rPr>
          <w:rFonts w:ascii="Cambria" w:hAnsi="Cambria" w:cs="Arial"/>
        </w:rPr>
      </w:pPr>
      <w:r w:rsidRPr="00481E88">
        <w:rPr>
          <w:rFonts w:ascii="Cambria" w:hAnsi="Cambria" w:cs="Arial"/>
        </w:rPr>
        <w:tab/>
        <w:t>5</w:t>
      </w:r>
      <w:r>
        <w:rPr>
          <w:rFonts w:ascii="Cambria" w:hAnsi="Cambria" w:cs="Arial"/>
        </w:rPr>
        <w:t>º</w:t>
      </w:r>
      <w:r w:rsidRPr="00481E88">
        <w:rPr>
          <w:rFonts w:ascii="Cambria" w:hAnsi="Cambria" w:cs="Arial"/>
        </w:rPr>
        <w:t xml:space="preserve">) Actualizar </w:t>
      </w:r>
      <w:r w:rsidRPr="008A6431">
        <w:rPr>
          <w:rFonts w:ascii="Cambria" w:hAnsi="Cambria" w:cs="Arial"/>
        </w:rPr>
        <w:t>por el índice medio de salarios</w:t>
      </w:r>
      <w:r w:rsidRPr="00481E88">
        <w:rPr>
          <w:rFonts w:ascii="Cambria" w:hAnsi="Cambria" w:cs="Arial"/>
        </w:rPr>
        <w:t xml:space="preserve"> los aportes </w:t>
      </w:r>
      <w:r w:rsidRPr="008A6431">
        <w:rPr>
          <w:rFonts w:ascii="Cambria" w:hAnsi="Cambria" w:cs="Arial"/>
        </w:rPr>
        <w:t>indirectos del artículo 71 de la ley 17.738</w:t>
      </w:r>
      <w:r w:rsidRPr="00481E88">
        <w:rPr>
          <w:rFonts w:ascii="Cambria" w:hAnsi="Cambria" w:cs="Arial"/>
        </w:rPr>
        <w:t xml:space="preserve">, aumentando timbres profesionales a fin de recuperar el desfazaje </w:t>
      </w:r>
      <w:r w:rsidRPr="008A6431">
        <w:rPr>
          <w:rFonts w:ascii="Cambria" w:hAnsi="Cambria" w:cs="Arial"/>
        </w:rPr>
        <w:t>verificado</w:t>
      </w:r>
      <w:r w:rsidRPr="00481E88">
        <w:rPr>
          <w:rFonts w:ascii="Cambria" w:hAnsi="Cambria" w:cs="Arial"/>
        </w:rPr>
        <w:t xml:space="preserve"> de los mismos</w:t>
      </w:r>
      <w:r w:rsidRPr="008A6431">
        <w:rPr>
          <w:rFonts w:ascii="Cambria" w:hAnsi="Cambria" w:cs="Arial"/>
        </w:rPr>
        <w:t xml:space="preserve"> </w:t>
      </w:r>
      <w:r w:rsidRPr="00481E88">
        <w:rPr>
          <w:rFonts w:ascii="Cambria" w:hAnsi="Cambria" w:cs="Arial"/>
        </w:rPr>
        <w:t xml:space="preserve">desde hace años, eliminando excepciones, recuperando </w:t>
      </w:r>
      <w:r w:rsidRPr="008A6431">
        <w:rPr>
          <w:rFonts w:ascii="Cambria" w:hAnsi="Cambria" w:cs="Arial"/>
        </w:rPr>
        <w:t>los</w:t>
      </w:r>
      <w:r w:rsidRPr="00481E88">
        <w:rPr>
          <w:rFonts w:ascii="Cambria" w:hAnsi="Cambria" w:cs="Arial"/>
        </w:rPr>
        <w:t xml:space="preserve"> ingresos </w:t>
      </w:r>
      <w:r w:rsidRPr="008A6431">
        <w:rPr>
          <w:rFonts w:ascii="Cambria" w:hAnsi="Cambria" w:cs="Arial"/>
        </w:rPr>
        <w:t>indirectos</w:t>
      </w:r>
      <w:r w:rsidRPr="00481E88">
        <w:rPr>
          <w:rFonts w:ascii="Cambria" w:hAnsi="Cambria" w:cs="Arial"/>
        </w:rPr>
        <w:t xml:space="preserve"> </w:t>
      </w:r>
      <w:r w:rsidRPr="008A6431">
        <w:rPr>
          <w:rFonts w:ascii="Cambria" w:hAnsi="Cambria" w:cs="Arial"/>
        </w:rPr>
        <w:t>que estaban en el portafolio previsto por la ley 12.997</w:t>
      </w:r>
      <w:r w:rsidRPr="00481E88">
        <w:rPr>
          <w:rFonts w:ascii="Cambria" w:hAnsi="Cambria" w:cs="Arial"/>
        </w:rPr>
        <w:t xml:space="preserve">, que fueron excluidos en la ley 17.738 tales como el </w:t>
      </w:r>
      <w:r w:rsidRPr="008A6431">
        <w:rPr>
          <w:rFonts w:ascii="Cambria" w:hAnsi="Cambria" w:cs="Arial"/>
        </w:rPr>
        <w:t>precio de venta de específicos de uso animal  y el 1% de la venta de maquinaria agrícola.</w:t>
      </w:r>
      <w:r w:rsidRPr="00481E88">
        <w:rPr>
          <w:rFonts w:ascii="Cambria" w:hAnsi="Cambria" w:cs="Arial"/>
        </w:rPr>
        <w:t xml:space="preserve">  </w:t>
      </w:r>
    </w:p>
    <w:p w:rsidR="00C731FD" w:rsidRPr="00481E88" w:rsidRDefault="00C731FD" w:rsidP="00C731FD">
      <w:pPr>
        <w:pStyle w:val="Standard"/>
        <w:contextualSpacing/>
        <w:jc w:val="both"/>
        <w:rPr>
          <w:rFonts w:ascii="Cambria" w:hAnsi="Cambria" w:cs="Arial"/>
        </w:rPr>
      </w:pPr>
    </w:p>
    <w:p w:rsidR="00C731FD" w:rsidRPr="00481E88" w:rsidRDefault="00C731FD" w:rsidP="00C731FD">
      <w:pPr>
        <w:pStyle w:val="Standard"/>
        <w:contextualSpacing/>
        <w:jc w:val="both"/>
        <w:rPr>
          <w:rFonts w:ascii="Cambria" w:hAnsi="Cambria" w:cs="Arial"/>
        </w:rPr>
      </w:pPr>
      <w:r w:rsidRPr="00481E88">
        <w:rPr>
          <w:rFonts w:ascii="Cambria" w:hAnsi="Cambria" w:cs="Arial"/>
        </w:rPr>
        <w:tab/>
        <w:t>6</w:t>
      </w:r>
      <w:r>
        <w:rPr>
          <w:rFonts w:ascii="Cambria" w:hAnsi="Cambria" w:cs="Arial"/>
        </w:rPr>
        <w:t>º</w:t>
      </w:r>
      <w:r w:rsidRPr="00481E88">
        <w:rPr>
          <w:rFonts w:ascii="Cambria" w:hAnsi="Cambria" w:cs="Arial"/>
        </w:rPr>
        <w:t>) Incentivar la participación gremial en defensa de nuestra Caja.</w:t>
      </w:r>
    </w:p>
    <w:p w:rsidR="00C731FD" w:rsidRPr="00481E88" w:rsidRDefault="00C731FD" w:rsidP="00C731FD">
      <w:pPr>
        <w:pStyle w:val="Standard"/>
        <w:contextualSpacing/>
        <w:jc w:val="both"/>
        <w:rPr>
          <w:rFonts w:ascii="Cambria" w:hAnsi="Cambria" w:cs="Arial"/>
        </w:rPr>
      </w:pPr>
      <w:r w:rsidRPr="00481E88">
        <w:rPr>
          <w:rFonts w:ascii="Cambria" w:hAnsi="Cambria" w:cs="Arial"/>
        </w:rPr>
        <w:t>El acuerdo en estos puntos básicos creemos constituye un punto de partida para lograr una posición consensuada y continuar con el análisis de otros factores que hacen al futuro de nuestra Caja.</w:t>
      </w:r>
    </w:p>
    <w:p w:rsidR="00C731FD" w:rsidRPr="00481E88" w:rsidRDefault="00C731FD" w:rsidP="00C731FD">
      <w:pPr>
        <w:pStyle w:val="Standard"/>
        <w:contextualSpacing/>
        <w:rPr>
          <w:rFonts w:ascii="Cambria" w:hAnsi="Cambria" w:cs="Arial"/>
        </w:rPr>
      </w:pPr>
    </w:p>
    <w:p w:rsidR="00C731FD" w:rsidRDefault="00C731FD" w:rsidP="00C731FD">
      <w:pPr>
        <w:pStyle w:val="Standard"/>
        <w:contextualSpacing/>
        <w:rPr>
          <w:rFonts w:ascii="Cambria" w:hAnsi="Cambria" w:cs="Arial"/>
        </w:rPr>
      </w:pPr>
    </w:p>
    <w:p w:rsidR="00C731FD" w:rsidRPr="00481E88" w:rsidRDefault="00C731FD" w:rsidP="00C731FD">
      <w:pPr>
        <w:pStyle w:val="Standard"/>
        <w:contextualSpacing/>
        <w:rPr>
          <w:rFonts w:ascii="Cambria" w:hAnsi="Cambria" w:cs="Arial"/>
        </w:rPr>
      </w:pPr>
      <w:bookmarkStart w:id="0" w:name="_GoBack"/>
      <w:bookmarkEnd w:id="0"/>
    </w:p>
    <w:p w:rsidR="00C731FD" w:rsidRDefault="00C731FD" w:rsidP="00C731FD">
      <w:pPr>
        <w:pStyle w:val="Standard"/>
        <w:contextualSpacing/>
        <w:rPr>
          <w:rFonts w:ascii="Cambria" w:hAnsi="Cambria" w:cs="Arial"/>
        </w:rPr>
      </w:pPr>
    </w:p>
    <w:p w:rsidR="00C731FD" w:rsidRDefault="00C731FD" w:rsidP="00C731FD">
      <w:pPr>
        <w:pStyle w:val="Standard"/>
        <w:contextualSpacing/>
        <w:rPr>
          <w:rFonts w:ascii="Cambria" w:hAnsi="Cambria" w:cs="Arial"/>
        </w:rPr>
      </w:pPr>
    </w:p>
    <w:p w:rsidR="00C731FD" w:rsidRDefault="00C731FD" w:rsidP="00C731FD">
      <w:pPr>
        <w:pStyle w:val="Standard"/>
        <w:contextualSpacing/>
        <w:rPr>
          <w:rFonts w:ascii="Cambria" w:hAnsi="Cambria" w:cs="Arial"/>
        </w:rPr>
      </w:pPr>
    </w:p>
    <w:p w:rsidR="00C731FD" w:rsidRDefault="00C731FD" w:rsidP="00C731FD">
      <w:pPr>
        <w:pStyle w:val="Standard"/>
        <w:contextualSpacing/>
        <w:rPr>
          <w:rFonts w:ascii="Cambria" w:hAnsi="Cambria" w:cs="Arial"/>
        </w:rPr>
      </w:pPr>
    </w:p>
    <w:p w:rsidR="00C731FD" w:rsidRPr="00481E88" w:rsidRDefault="00C731FD" w:rsidP="00C731FD">
      <w:pPr>
        <w:pStyle w:val="Standard"/>
        <w:contextualSpacing/>
        <w:rPr>
          <w:rFonts w:ascii="Cambria" w:hAnsi="Cambria" w:cs="Arial"/>
        </w:rPr>
      </w:pPr>
    </w:p>
    <w:p w:rsidR="00C731FD" w:rsidRPr="00481E88" w:rsidRDefault="00C731FD" w:rsidP="00C731FD">
      <w:pPr>
        <w:pStyle w:val="Standard"/>
        <w:contextualSpacing/>
        <w:rPr>
          <w:rFonts w:ascii="Cambria" w:hAnsi="Cambria" w:cs="Arial"/>
        </w:rPr>
      </w:pPr>
    </w:p>
    <w:p w:rsidR="00342ADC" w:rsidRPr="008855C6" w:rsidRDefault="00342ADC" w:rsidP="00342ADC">
      <w:pPr>
        <w:spacing w:after="60" w:line="240" w:lineRule="auto"/>
        <w:ind w:firstLine="708"/>
        <w:jc w:val="center"/>
        <w:rPr>
          <w:rFonts w:ascii="Estrangelo Edessa" w:hAnsi="Estrangelo Edessa" w:cs="Estrangelo Edessa"/>
          <w:color w:val="000000" w:themeColor="text1"/>
          <w:sz w:val="20"/>
          <w:szCs w:val="20"/>
          <w:lang w:val="de-DE"/>
        </w:rPr>
      </w:pPr>
    </w:p>
    <w:p w:rsidR="00342ADC" w:rsidRDefault="00342ADC" w:rsidP="00342ADC">
      <w:pPr>
        <w:spacing w:after="60" w:line="240" w:lineRule="auto"/>
        <w:ind w:firstLine="708"/>
        <w:jc w:val="center"/>
        <w:rPr>
          <w:rFonts w:ascii="Estrangelo Edessa" w:hAnsi="Estrangelo Edessa" w:cs="Estrangelo Edessa"/>
          <w:color w:val="000000" w:themeColor="text1"/>
          <w:sz w:val="20"/>
          <w:szCs w:val="20"/>
        </w:rPr>
      </w:pPr>
    </w:p>
    <w:p w:rsidR="00342ADC" w:rsidRDefault="00342ADC" w:rsidP="00342ADC">
      <w:pPr>
        <w:spacing w:after="60" w:line="240" w:lineRule="auto"/>
        <w:ind w:firstLine="708"/>
        <w:jc w:val="center"/>
        <w:rPr>
          <w:rFonts w:ascii="Estrangelo Edessa" w:hAnsi="Estrangelo Edessa" w:cs="Estrangelo Edessa"/>
          <w:color w:val="000000" w:themeColor="text1"/>
          <w:sz w:val="20"/>
          <w:szCs w:val="20"/>
        </w:rPr>
      </w:pPr>
    </w:p>
    <w:p w:rsidR="00342ADC" w:rsidRDefault="00342ADC" w:rsidP="00342ADC">
      <w:pPr>
        <w:spacing w:after="60" w:line="240" w:lineRule="auto"/>
        <w:ind w:firstLine="708"/>
        <w:jc w:val="center"/>
        <w:rPr>
          <w:rFonts w:ascii="Estrangelo Edessa" w:hAnsi="Estrangelo Edessa" w:cs="Estrangelo Edessa"/>
          <w:color w:val="000000" w:themeColor="text1"/>
          <w:sz w:val="20"/>
          <w:szCs w:val="20"/>
        </w:rPr>
      </w:pPr>
    </w:p>
    <w:p w:rsidR="00DA7AA5" w:rsidRPr="00751790" w:rsidRDefault="00DA7AA5" w:rsidP="00751790"/>
    <w:sectPr w:rsidR="00DA7AA5" w:rsidRPr="00751790" w:rsidSect="00C731FD">
      <w:headerReference w:type="default" r:id="rId8"/>
      <w:footerReference w:type="default" r:id="rId9"/>
      <w:pgSz w:w="11906" w:h="16838"/>
      <w:pgMar w:top="739" w:right="1418" w:bottom="851" w:left="1701" w:header="119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35" w:rsidRDefault="00C31F35" w:rsidP="000648F4">
      <w:pPr>
        <w:spacing w:after="0" w:line="240" w:lineRule="auto"/>
      </w:pPr>
      <w:r>
        <w:separator/>
      </w:r>
    </w:p>
  </w:endnote>
  <w:endnote w:type="continuationSeparator" w:id="0">
    <w:p w:rsidR="00C31F35" w:rsidRDefault="00C31F35" w:rsidP="0006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F4" w:rsidRPr="00917A7A" w:rsidRDefault="000648F4" w:rsidP="000648F4">
    <w:pPr>
      <w:pBdr>
        <w:bottom w:val="single" w:sz="12" w:space="1" w:color="auto"/>
      </w:pBdr>
      <w:spacing w:after="0" w:line="240" w:lineRule="auto"/>
      <w:rPr>
        <w:rFonts w:ascii="Franklin Gothic Book" w:hAnsi="Franklin Gothic Book" w:cs="Arial"/>
        <w:color w:val="000000" w:themeColor="text1"/>
      </w:rPr>
    </w:pPr>
  </w:p>
  <w:p w:rsidR="00452803" w:rsidRPr="00917A7A" w:rsidRDefault="00452803" w:rsidP="000648F4">
    <w:pPr>
      <w:spacing w:after="0" w:line="240" w:lineRule="auto"/>
      <w:rPr>
        <w:rFonts w:ascii="Franklin Gothic Book" w:hAnsi="Franklin Gothic Book" w:cs="Arial"/>
        <w:color w:val="000000" w:themeColor="text1"/>
      </w:rPr>
    </w:pPr>
  </w:p>
  <w:p w:rsidR="000648F4" w:rsidRPr="00970EF3" w:rsidRDefault="000648F4" w:rsidP="000648F4">
    <w:pPr>
      <w:spacing w:after="0" w:line="240" w:lineRule="auto"/>
      <w:jc w:val="center"/>
      <w:rPr>
        <w:rFonts w:ascii="Franklin Gothic Book" w:hAnsi="Franklin Gothic Book" w:cs="Arial"/>
        <w:b/>
        <w:color w:val="000000" w:themeColor="text1"/>
        <w:sz w:val="20"/>
        <w:szCs w:val="20"/>
      </w:rPr>
    </w:pPr>
    <w:r w:rsidRPr="00970EF3">
      <w:rPr>
        <w:rFonts w:ascii="Franklin Gothic Book" w:hAnsi="Franklin Gothic Book" w:cs="Arial"/>
        <w:b/>
        <w:color w:val="000000" w:themeColor="text1"/>
        <w:sz w:val="20"/>
        <w:szCs w:val="20"/>
      </w:rPr>
      <w:t>Sede Social:</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 xml:space="preserve"> Av</w:t>
    </w:r>
    <w:r w:rsidR="00BF72BB" w:rsidRPr="00970EF3">
      <w:rPr>
        <w:rFonts w:ascii="Franklin Gothic Book" w:hAnsi="Franklin Gothic Book" w:cs="Arial"/>
        <w:b/>
        <w:color w:val="000000" w:themeColor="text1"/>
        <w:sz w:val="20"/>
        <w:szCs w:val="20"/>
      </w:rPr>
      <w:t>da</w:t>
    </w:r>
    <w:r w:rsidRPr="00970EF3">
      <w:rPr>
        <w:rFonts w:ascii="Franklin Gothic Book" w:hAnsi="Franklin Gothic Book" w:cs="Arial"/>
        <w:b/>
        <w:color w:val="000000" w:themeColor="text1"/>
        <w:sz w:val="20"/>
        <w:szCs w:val="20"/>
      </w:rPr>
      <w:t>. 18 de Julio 1268 Esc</w:t>
    </w:r>
    <w:r w:rsidR="00825491" w:rsidRPr="00970EF3">
      <w:rPr>
        <w:rFonts w:ascii="Franklin Gothic Book" w:hAnsi="Franklin Gothic Book" w:cs="Arial"/>
        <w:b/>
        <w:color w:val="000000" w:themeColor="text1"/>
        <w:sz w:val="20"/>
        <w:szCs w:val="20"/>
      </w:rPr>
      <w:t>.</w:t>
    </w:r>
    <w:r w:rsidRPr="00970EF3">
      <w:rPr>
        <w:rFonts w:ascii="Franklin Gothic Book" w:hAnsi="Franklin Gothic Book" w:cs="Arial"/>
        <w:b/>
        <w:color w:val="000000" w:themeColor="text1"/>
        <w:sz w:val="20"/>
        <w:szCs w:val="20"/>
      </w:rPr>
      <w:t xml:space="preserve"> 107 - Tel. 2901</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88</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 xml:space="preserve">50 </w:t>
    </w:r>
    <w:r w:rsidR="00825491" w:rsidRPr="00970EF3">
      <w:rPr>
        <w:rFonts w:ascii="Franklin Gothic Book" w:hAnsi="Franklin Gothic Book" w:cs="Arial"/>
        <w:b/>
        <w:color w:val="000000" w:themeColor="text1"/>
        <w:sz w:val="20"/>
        <w:szCs w:val="20"/>
      </w:rPr>
      <w:t>–</w:t>
    </w:r>
    <w:r w:rsidRPr="00970EF3">
      <w:rPr>
        <w:rFonts w:ascii="Franklin Gothic Book" w:hAnsi="Franklin Gothic Book" w:cs="Arial"/>
        <w:b/>
        <w:color w:val="000000" w:themeColor="text1"/>
        <w:sz w:val="20"/>
        <w:szCs w:val="20"/>
      </w:rPr>
      <w:t xml:space="preserve"> Tel</w:t>
    </w:r>
    <w:r w:rsidR="00825491" w:rsidRPr="00970EF3">
      <w:rPr>
        <w:rFonts w:ascii="Franklin Gothic Book" w:hAnsi="Franklin Gothic Book" w:cs="Arial"/>
        <w:b/>
        <w:color w:val="000000" w:themeColor="text1"/>
        <w:sz w:val="20"/>
        <w:szCs w:val="20"/>
      </w:rPr>
      <w:t>e</w:t>
    </w:r>
    <w:r w:rsidRPr="00970EF3">
      <w:rPr>
        <w:rFonts w:ascii="Franklin Gothic Book" w:hAnsi="Franklin Gothic Book" w:cs="Arial"/>
        <w:b/>
        <w:color w:val="000000" w:themeColor="text1"/>
        <w:sz w:val="20"/>
        <w:szCs w:val="20"/>
      </w:rPr>
      <w:t>fax</w:t>
    </w:r>
    <w:r w:rsidR="00825491" w:rsidRPr="00970EF3">
      <w:rPr>
        <w:rFonts w:ascii="Franklin Gothic Book" w:hAnsi="Franklin Gothic Book" w:cs="Arial"/>
        <w:b/>
        <w:color w:val="000000" w:themeColor="text1"/>
        <w:sz w:val="20"/>
        <w:szCs w:val="20"/>
      </w:rPr>
      <w:t>:</w:t>
    </w:r>
    <w:r w:rsidRPr="00970EF3">
      <w:rPr>
        <w:rFonts w:ascii="Franklin Gothic Book" w:hAnsi="Franklin Gothic Book" w:cs="Arial"/>
        <w:b/>
        <w:color w:val="000000" w:themeColor="text1"/>
        <w:sz w:val="20"/>
        <w:szCs w:val="20"/>
      </w:rPr>
      <w:t xml:space="preserve"> </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2900</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76</w:t>
    </w:r>
    <w:r w:rsidR="00825491" w:rsidRPr="00970EF3">
      <w:rPr>
        <w:rFonts w:ascii="Franklin Gothic Book" w:hAnsi="Franklin Gothic Book" w:cs="Arial"/>
        <w:b/>
        <w:color w:val="000000" w:themeColor="text1"/>
        <w:sz w:val="20"/>
        <w:szCs w:val="20"/>
      </w:rPr>
      <w:t xml:space="preserve"> </w:t>
    </w:r>
    <w:r w:rsidRPr="00970EF3">
      <w:rPr>
        <w:rFonts w:ascii="Franklin Gothic Book" w:hAnsi="Franklin Gothic Book" w:cs="Arial"/>
        <w:b/>
        <w:color w:val="000000" w:themeColor="text1"/>
        <w:sz w:val="20"/>
        <w:szCs w:val="20"/>
      </w:rPr>
      <w:t>57</w:t>
    </w:r>
  </w:p>
  <w:p w:rsidR="000648F4" w:rsidRPr="00970EF3" w:rsidRDefault="000648F4" w:rsidP="000648F4">
    <w:pPr>
      <w:spacing w:after="0" w:line="240" w:lineRule="auto"/>
      <w:jc w:val="center"/>
      <w:rPr>
        <w:rFonts w:ascii="Franklin Gothic Book" w:hAnsi="Franklin Gothic Book" w:cs="Arial"/>
        <w:b/>
        <w:color w:val="000000" w:themeColor="text1"/>
        <w:sz w:val="20"/>
        <w:szCs w:val="20"/>
      </w:rPr>
    </w:pPr>
    <w:r w:rsidRPr="00970EF3">
      <w:rPr>
        <w:rFonts w:ascii="Franklin Gothic Book" w:hAnsi="Franklin Gothic Book" w:cs="Arial"/>
        <w:b/>
        <w:color w:val="000000" w:themeColor="text1"/>
        <w:sz w:val="20"/>
        <w:szCs w:val="20"/>
      </w:rPr>
      <w:t xml:space="preserve">e-mail: </w:t>
    </w:r>
    <w:hyperlink r:id="rId1" w:history="1">
      <w:r w:rsidR="00E56430" w:rsidRPr="00970EF3">
        <w:rPr>
          <w:rStyle w:val="Hipervnculo"/>
          <w:rFonts w:ascii="Franklin Gothic Book" w:hAnsi="Franklin Gothic Book" w:cs="Arial"/>
          <w:b/>
          <w:color w:val="000000" w:themeColor="text1"/>
          <w:sz w:val="20"/>
          <w:szCs w:val="20"/>
        </w:rPr>
        <w:t>acpu2@adinet.com.uy</w:t>
      </w:r>
    </w:hyperlink>
    <w:r w:rsidRPr="00970EF3">
      <w:rPr>
        <w:rFonts w:ascii="Franklin Gothic Book" w:hAnsi="Franklin Gothic Book" w:cs="Arial"/>
        <w:b/>
        <w:color w:val="000000" w:themeColor="text1"/>
        <w:sz w:val="20"/>
        <w:szCs w:val="20"/>
      </w:rPr>
      <w:t xml:space="preserve"> - Página web:  </w:t>
    </w:r>
    <w:hyperlink r:id="rId2" w:history="1">
      <w:r w:rsidR="00825491" w:rsidRPr="00970EF3">
        <w:rPr>
          <w:rStyle w:val="Hipervnculo"/>
          <w:rFonts w:ascii="Franklin Gothic Book" w:hAnsi="Franklin Gothic Book" w:cs="Arial"/>
          <w:b/>
          <w:sz w:val="20"/>
          <w:szCs w:val="20"/>
        </w:rPr>
        <w:t>www.aacjpu.com</w:t>
      </w:r>
    </w:hyperlink>
  </w:p>
  <w:p w:rsidR="000648F4" w:rsidRPr="00970EF3" w:rsidRDefault="000648F4" w:rsidP="000648F4">
    <w:pPr>
      <w:spacing w:after="0" w:line="240" w:lineRule="auto"/>
      <w:jc w:val="center"/>
      <w:rPr>
        <w:rFonts w:ascii="Franklin Gothic Book" w:hAnsi="Franklin Gothic Book" w:cs="Arial"/>
        <w:b/>
        <w:color w:val="000000" w:themeColor="text1"/>
        <w:sz w:val="20"/>
        <w:szCs w:val="20"/>
      </w:rPr>
    </w:pPr>
    <w:r w:rsidRPr="00970EF3">
      <w:rPr>
        <w:rFonts w:ascii="Franklin Gothic Book" w:hAnsi="Franklin Gothic Book" w:cs="Arial"/>
        <w:b/>
        <w:color w:val="000000" w:themeColor="text1"/>
        <w:sz w:val="20"/>
        <w:szCs w:val="20"/>
      </w:rPr>
      <w:t>Montevideo - Uruguay</w:t>
    </w:r>
  </w:p>
  <w:p w:rsidR="000648F4" w:rsidRDefault="000648F4">
    <w:pPr>
      <w:pStyle w:val="Piedepgina"/>
    </w:pPr>
  </w:p>
  <w:p w:rsidR="000648F4" w:rsidRDefault="000648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35" w:rsidRDefault="00C31F35" w:rsidP="000648F4">
      <w:pPr>
        <w:spacing w:after="0" w:line="240" w:lineRule="auto"/>
      </w:pPr>
      <w:r>
        <w:separator/>
      </w:r>
    </w:p>
  </w:footnote>
  <w:footnote w:type="continuationSeparator" w:id="0">
    <w:p w:rsidR="00C31F35" w:rsidRDefault="00C31F35" w:rsidP="0006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C9" w:rsidRPr="00452803" w:rsidRDefault="00C731FD" w:rsidP="00BF72BB">
    <w:pPr>
      <w:spacing w:after="0" w:line="240" w:lineRule="auto"/>
      <w:jc w:val="center"/>
      <w:rPr>
        <w:rFonts w:ascii="Estrangelo Edessa" w:hAnsi="Estrangelo Edessa" w:cs="Estrangelo Edessa"/>
        <w:b/>
        <w:color w:val="000000" w:themeColor="text1"/>
        <w:sz w:val="32"/>
        <w:szCs w:val="32"/>
      </w:rPr>
    </w:pPr>
    <w:r>
      <w:rPr>
        <w:rFonts w:ascii="Estrangelo Edessa" w:hAnsi="Estrangelo Edessa" w:cs="Estrangelo Edessa"/>
        <w:b/>
        <w:noProof/>
        <w:color w:val="000000" w:themeColor="text1"/>
        <w:sz w:val="32"/>
        <w:szCs w:val="32"/>
        <w:lang w:val="en-US"/>
      </w:rPr>
      <w:drawing>
        <wp:anchor distT="0" distB="0" distL="114300" distR="114300" simplePos="0" relativeHeight="251658240" behindDoc="1" locked="0" layoutInCell="1" allowOverlap="1" wp14:anchorId="03C18F8C" wp14:editId="33AC9E57">
          <wp:simplePos x="0" y="0"/>
          <wp:positionH relativeFrom="column">
            <wp:posOffset>-984885</wp:posOffset>
          </wp:positionH>
          <wp:positionV relativeFrom="paragraph">
            <wp:posOffset>-750570</wp:posOffset>
          </wp:positionV>
          <wp:extent cx="1733550" cy="17335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2_Página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Pr>
        <w:rFonts w:ascii="Estrangelo Edessa" w:hAnsi="Estrangelo Edessa" w:cs="Estrangelo Edessa"/>
        <w:b/>
        <w:noProof/>
        <w:color w:val="000000" w:themeColor="text1"/>
        <w:sz w:val="32"/>
        <w:szCs w:val="32"/>
        <w:lang w:val="en-US"/>
      </w:rPr>
      <mc:AlternateContent>
        <mc:Choice Requires="wps">
          <w:drawing>
            <wp:anchor distT="0" distB="0" distL="114300" distR="114300" simplePos="0" relativeHeight="251659264" behindDoc="0" locked="0" layoutInCell="1" allowOverlap="1" wp14:anchorId="159BE313" wp14:editId="1862FE37">
              <wp:simplePos x="0" y="0"/>
              <wp:positionH relativeFrom="column">
                <wp:posOffset>748030</wp:posOffset>
              </wp:positionH>
              <wp:positionV relativeFrom="paragraph">
                <wp:posOffset>-363855</wp:posOffset>
              </wp:positionV>
              <wp:extent cx="5343525" cy="8953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5343525" cy="895350"/>
                      </a:xfrm>
                      <a:prstGeom prst="rect">
                        <a:avLst/>
                      </a:prstGeom>
                      <a:solidFill>
                        <a:schemeClr val="lt1"/>
                      </a:solidFill>
                      <a:ln w="6350">
                        <a:noFill/>
                      </a:ln>
                    </wps:spPr>
                    <wps:txbx>
                      <w:txbxContent>
                        <w:p w:rsidR="00342ADC" w:rsidRPr="00400AE7" w:rsidRDefault="00342ADC" w:rsidP="00130156">
                          <w:pPr>
                            <w:spacing w:after="0"/>
                            <w:jc w:val="center"/>
                            <w:rPr>
                              <w:rFonts w:ascii="Franklin Gothic Book" w:hAnsi="Franklin Gothic Book"/>
                              <w:b/>
                              <w:sz w:val="34"/>
                              <w:szCs w:val="34"/>
                            </w:rPr>
                          </w:pPr>
                          <w:r w:rsidRPr="00400AE7">
                            <w:rPr>
                              <w:rFonts w:ascii="Franklin Gothic Book" w:hAnsi="Franklin Gothic Book"/>
                              <w:b/>
                              <w:sz w:val="34"/>
                              <w:szCs w:val="34"/>
                            </w:rPr>
                            <w:t>Asociación de Afiliados a la Caja de Jubilaciones y</w:t>
                          </w:r>
                        </w:p>
                        <w:p w:rsidR="00342ADC" w:rsidRPr="00400AE7" w:rsidRDefault="00342ADC" w:rsidP="00130156">
                          <w:pPr>
                            <w:spacing w:after="0"/>
                            <w:jc w:val="center"/>
                            <w:rPr>
                              <w:rFonts w:ascii="Franklin Gothic Book" w:hAnsi="Franklin Gothic Book"/>
                              <w:b/>
                              <w:sz w:val="34"/>
                              <w:szCs w:val="34"/>
                            </w:rPr>
                          </w:pPr>
                          <w:r w:rsidRPr="00400AE7">
                            <w:rPr>
                              <w:rFonts w:ascii="Franklin Gothic Book" w:hAnsi="Franklin Gothic Book"/>
                              <w:b/>
                              <w:sz w:val="34"/>
                              <w:szCs w:val="34"/>
                            </w:rPr>
                            <w:t>Pensiones de Profesionales Universitarios</w:t>
                          </w:r>
                        </w:p>
                        <w:p w:rsidR="00342ADC" w:rsidRPr="00342ADC" w:rsidRDefault="00342ADC" w:rsidP="00130156">
                          <w:pPr>
                            <w:spacing w:after="0"/>
                            <w:jc w:val="center"/>
                            <w:rPr>
                              <w:rFonts w:ascii="Franklin Gothic Book" w:hAnsi="Franklin Gothic Book"/>
                              <w:b/>
                              <w:sz w:val="14"/>
                              <w:szCs w:val="14"/>
                            </w:rPr>
                          </w:pPr>
                        </w:p>
                        <w:p w:rsidR="00342ADC" w:rsidRPr="00342ADC" w:rsidRDefault="00342ADC" w:rsidP="00130156">
                          <w:pPr>
                            <w:spacing w:after="0" w:line="240" w:lineRule="auto"/>
                            <w:ind w:firstLine="708"/>
                            <w:jc w:val="center"/>
                            <w:rPr>
                              <w:rFonts w:ascii="Franklin Gothic Book" w:hAnsi="Franklin Gothic Book" w:cs="Estrangelo Edessa"/>
                              <w:b/>
                              <w:color w:val="000000" w:themeColor="text1"/>
                              <w:sz w:val="20"/>
                              <w:szCs w:val="20"/>
                            </w:rPr>
                          </w:pPr>
                          <w:r w:rsidRPr="00342ADC">
                            <w:rPr>
                              <w:rFonts w:ascii="Franklin Gothic Book" w:hAnsi="Franklin Gothic Book" w:cs="Estrangelo Edessa"/>
                              <w:b/>
                              <w:color w:val="000000" w:themeColor="text1"/>
                              <w:sz w:val="20"/>
                              <w:szCs w:val="20"/>
                            </w:rPr>
                            <w:t>Personería Jurídica aprobada por el PE el 24/11/1964</w:t>
                          </w:r>
                        </w:p>
                        <w:p w:rsidR="00342ADC" w:rsidRDefault="00342ADC" w:rsidP="00342AD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BE313" id="_x0000_t202" coordsize="21600,21600" o:spt="202" path="m,l,21600r21600,l21600,xe">
              <v:stroke joinstyle="miter"/>
              <v:path gradientshapeok="t" o:connecttype="rect"/>
            </v:shapetype>
            <v:shape id="Cuadro de texto 3" o:spid="_x0000_s1026" type="#_x0000_t202" style="position:absolute;left:0;text-align:left;margin-left:58.9pt;margin-top:-28.65pt;width:42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" fillcolor="white [3201]" stroked="f" strokeweight=".5pt">
              <v:textbox>
                <w:txbxContent>
                  <w:p w:rsidR="00342ADC" w:rsidRPr="00400AE7" w:rsidRDefault="00342ADC" w:rsidP="00130156">
                    <w:pPr>
                      <w:spacing w:after="0"/>
                      <w:jc w:val="center"/>
                      <w:rPr>
                        <w:rFonts w:ascii="Franklin Gothic Book" w:hAnsi="Franklin Gothic Book"/>
                        <w:b/>
                        <w:sz w:val="34"/>
                        <w:szCs w:val="34"/>
                      </w:rPr>
                    </w:pPr>
                    <w:r w:rsidRPr="00400AE7">
                      <w:rPr>
                        <w:rFonts w:ascii="Franklin Gothic Book" w:hAnsi="Franklin Gothic Book"/>
                        <w:b/>
                        <w:sz w:val="34"/>
                        <w:szCs w:val="34"/>
                      </w:rPr>
                      <w:t>Asociación de Afiliados a la Caja de Jubilaciones y</w:t>
                    </w:r>
                  </w:p>
                  <w:p w:rsidR="00342ADC" w:rsidRPr="00400AE7" w:rsidRDefault="00342ADC" w:rsidP="00130156">
                    <w:pPr>
                      <w:spacing w:after="0"/>
                      <w:jc w:val="center"/>
                      <w:rPr>
                        <w:rFonts w:ascii="Franklin Gothic Book" w:hAnsi="Franklin Gothic Book"/>
                        <w:b/>
                        <w:sz w:val="34"/>
                        <w:szCs w:val="34"/>
                      </w:rPr>
                    </w:pPr>
                    <w:r w:rsidRPr="00400AE7">
                      <w:rPr>
                        <w:rFonts w:ascii="Franklin Gothic Book" w:hAnsi="Franklin Gothic Book"/>
                        <w:b/>
                        <w:sz w:val="34"/>
                        <w:szCs w:val="34"/>
                      </w:rPr>
                      <w:t>Pensiones de Profesionales Universitarios</w:t>
                    </w:r>
                  </w:p>
                  <w:p w:rsidR="00342ADC" w:rsidRPr="00342ADC" w:rsidRDefault="00342ADC" w:rsidP="00130156">
                    <w:pPr>
                      <w:spacing w:after="0"/>
                      <w:jc w:val="center"/>
                      <w:rPr>
                        <w:rFonts w:ascii="Franklin Gothic Book" w:hAnsi="Franklin Gothic Book"/>
                        <w:b/>
                        <w:sz w:val="14"/>
                        <w:szCs w:val="14"/>
                      </w:rPr>
                    </w:pPr>
                  </w:p>
                  <w:p w:rsidR="00342ADC" w:rsidRPr="00342ADC" w:rsidRDefault="00342ADC" w:rsidP="00130156">
                    <w:pPr>
                      <w:spacing w:after="0" w:line="240" w:lineRule="auto"/>
                      <w:ind w:firstLine="708"/>
                      <w:jc w:val="center"/>
                      <w:rPr>
                        <w:rFonts w:ascii="Franklin Gothic Book" w:hAnsi="Franklin Gothic Book" w:cs="Estrangelo Edessa"/>
                        <w:b/>
                        <w:color w:val="000000" w:themeColor="text1"/>
                        <w:sz w:val="20"/>
                        <w:szCs w:val="20"/>
                      </w:rPr>
                    </w:pPr>
                    <w:r w:rsidRPr="00342ADC">
                      <w:rPr>
                        <w:rFonts w:ascii="Franklin Gothic Book" w:hAnsi="Franklin Gothic Book" w:cs="Estrangelo Edessa"/>
                        <w:b/>
                        <w:color w:val="000000" w:themeColor="text1"/>
                        <w:sz w:val="20"/>
                        <w:szCs w:val="20"/>
                      </w:rPr>
                      <w:t>Personería Jurídica aprobada por el PE el 24/11/1964</w:t>
                    </w:r>
                  </w:p>
                  <w:p w:rsidR="00342ADC" w:rsidRDefault="00342ADC" w:rsidP="00342ADC">
                    <w:pPr>
                      <w:spacing w:after="0"/>
                    </w:pPr>
                  </w:p>
                </w:txbxContent>
              </v:textbox>
            </v:shape>
          </w:pict>
        </mc:Fallback>
      </mc:AlternateContent>
    </w:r>
  </w:p>
  <w:p w:rsidR="00E935C9" w:rsidRDefault="005D0A0A" w:rsidP="005D0A0A">
    <w:pPr>
      <w:tabs>
        <w:tab w:val="center" w:pos="4747"/>
        <w:tab w:val="right" w:pos="8787"/>
      </w:tabs>
      <w:spacing w:after="60" w:line="240" w:lineRule="auto"/>
      <w:ind w:firstLine="708"/>
      <w:rPr>
        <w:rFonts w:ascii="Estrangelo Edessa" w:hAnsi="Estrangelo Edessa" w:cs="Estrangelo Edessa"/>
        <w:b/>
        <w:color w:val="000000" w:themeColor="text1"/>
        <w:sz w:val="32"/>
        <w:szCs w:val="32"/>
      </w:rPr>
    </w:pPr>
    <w:r>
      <w:rPr>
        <w:rFonts w:ascii="Estrangelo Edessa" w:hAnsi="Estrangelo Edessa" w:cs="Estrangelo Edessa"/>
        <w:b/>
        <w:color w:val="000000" w:themeColor="text1"/>
        <w:sz w:val="32"/>
        <w:szCs w:val="32"/>
      </w:rPr>
      <w:tab/>
    </w:r>
    <w:r>
      <w:rPr>
        <w:rFonts w:ascii="Estrangelo Edessa" w:hAnsi="Estrangelo Edessa" w:cs="Estrangelo Edessa"/>
        <w:b/>
        <w:color w:val="000000" w:themeColor="text1"/>
        <w:sz w:val="32"/>
        <w:szCs w:val="32"/>
      </w:rPr>
      <w:tab/>
    </w:r>
  </w:p>
  <w:p w:rsidR="00E935C9" w:rsidRDefault="00E935C9" w:rsidP="00E935C9">
    <w:pPr>
      <w:pStyle w:val="Encabezado"/>
      <w:jc w:val="center"/>
    </w:pPr>
  </w:p>
  <w:p w:rsidR="00E935C9" w:rsidRDefault="00E935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C94"/>
    <w:multiLevelType w:val="hybridMultilevel"/>
    <w:tmpl w:val="84DA404E"/>
    <w:lvl w:ilvl="0" w:tplc="42FC267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6470A"/>
    <w:multiLevelType w:val="hybridMultilevel"/>
    <w:tmpl w:val="32B6D646"/>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15:restartNumberingAfterBreak="0">
    <w:nsid w:val="681A7227"/>
    <w:multiLevelType w:val="hybridMultilevel"/>
    <w:tmpl w:val="6DBEA5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DF"/>
    <w:rsid w:val="0000414E"/>
    <w:rsid w:val="0000422A"/>
    <w:rsid w:val="00010540"/>
    <w:rsid w:val="0004402F"/>
    <w:rsid w:val="000558DB"/>
    <w:rsid w:val="00063FF7"/>
    <w:rsid w:val="000648F4"/>
    <w:rsid w:val="000705FA"/>
    <w:rsid w:val="00071571"/>
    <w:rsid w:val="00081DA8"/>
    <w:rsid w:val="000A09E2"/>
    <w:rsid w:val="000A1207"/>
    <w:rsid w:val="000A5BB7"/>
    <w:rsid w:val="000D0CF4"/>
    <w:rsid w:val="000E5488"/>
    <w:rsid w:val="000F7B5D"/>
    <w:rsid w:val="00130156"/>
    <w:rsid w:val="001638B2"/>
    <w:rsid w:val="00172220"/>
    <w:rsid w:val="00187038"/>
    <w:rsid w:val="00192205"/>
    <w:rsid w:val="00196CC6"/>
    <w:rsid w:val="001A10B1"/>
    <w:rsid w:val="001A4646"/>
    <w:rsid w:val="001A4689"/>
    <w:rsid w:val="001B17B1"/>
    <w:rsid w:val="001B220B"/>
    <w:rsid w:val="001B51C2"/>
    <w:rsid w:val="001E34B7"/>
    <w:rsid w:val="001F0496"/>
    <w:rsid w:val="00206D43"/>
    <w:rsid w:val="00213090"/>
    <w:rsid w:val="00215DD8"/>
    <w:rsid w:val="00222008"/>
    <w:rsid w:val="00222163"/>
    <w:rsid w:val="00225E77"/>
    <w:rsid w:val="00230B7D"/>
    <w:rsid w:val="00237E71"/>
    <w:rsid w:val="00245632"/>
    <w:rsid w:val="00254B0A"/>
    <w:rsid w:val="00256D0B"/>
    <w:rsid w:val="00263223"/>
    <w:rsid w:val="002636ED"/>
    <w:rsid w:val="00271C1F"/>
    <w:rsid w:val="00271D90"/>
    <w:rsid w:val="00276B74"/>
    <w:rsid w:val="002848FB"/>
    <w:rsid w:val="002A75A5"/>
    <w:rsid w:val="002E3F03"/>
    <w:rsid w:val="002E4122"/>
    <w:rsid w:val="002F2442"/>
    <w:rsid w:val="002F68B4"/>
    <w:rsid w:val="003076B8"/>
    <w:rsid w:val="00342ADC"/>
    <w:rsid w:val="003553B7"/>
    <w:rsid w:val="00355C8B"/>
    <w:rsid w:val="0036189C"/>
    <w:rsid w:val="00361A00"/>
    <w:rsid w:val="0037679D"/>
    <w:rsid w:val="00382D44"/>
    <w:rsid w:val="003905AE"/>
    <w:rsid w:val="00393771"/>
    <w:rsid w:val="0039451D"/>
    <w:rsid w:val="003A4D89"/>
    <w:rsid w:val="003B4BCB"/>
    <w:rsid w:val="003B60BC"/>
    <w:rsid w:val="003B685C"/>
    <w:rsid w:val="003B774D"/>
    <w:rsid w:val="003C61E1"/>
    <w:rsid w:val="003D6711"/>
    <w:rsid w:val="003D7247"/>
    <w:rsid w:val="003E737E"/>
    <w:rsid w:val="003F2D13"/>
    <w:rsid w:val="003F665F"/>
    <w:rsid w:val="00400AE7"/>
    <w:rsid w:val="00404481"/>
    <w:rsid w:val="00410B58"/>
    <w:rsid w:val="004171CB"/>
    <w:rsid w:val="00424577"/>
    <w:rsid w:val="004258F5"/>
    <w:rsid w:val="0042607D"/>
    <w:rsid w:val="00436FC0"/>
    <w:rsid w:val="00452803"/>
    <w:rsid w:val="004626C3"/>
    <w:rsid w:val="00475258"/>
    <w:rsid w:val="004865A7"/>
    <w:rsid w:val="00495249"/>
    <w:rsid w:val="004A0FE4"/>
    <w:rsid w:val="004A3A99"/>
    <w:rsid w:val="004A3AAB"/>
    <w:rsid w:val="004A6281"/>
    <w:rsid w:val="004A6993"/>
    <w:rsid w:val="004C71DA"/>
    <w:rsid w:val="004C79A2"/>
    <w:rsid w:val="004D64C9"/>
    <w:rsid w:val="004E69DA"/>
    <w:rsid w:val="004F4836"/>
    <w:rsid w:val="00502051"/>
    <w:rsid w:val="00545965"/>
    <w:rsid w:val="00555099"/>
    <w:rsid w:val="00564F5C"/>
    <w:rsid w:val="005754DE"/>
    <w:rsid w:val="00577054"/>
    <w:rsid w:val="00581358"/>
    <w:rsid w:val="00583332"/>
    <w:rsid w:val="005926CA"/>
    <w:rsid w:val="005A4735"/>
    <w:rsid w:val="005D0882"/>
    <w:rsid w:val="005D0A0A"/>
    <w:rsid w:val="005D6F56"/>
    <w:rsid w:val="005E18A9"/>
    <w:rsid w:val="005F2FA8"/>
    <w:rsid w:val="005F79CC"/>
    <w:rsid w:val="00600179"/>
    <w:rsid w:val="00602545"/>
    <w:rsid w:val="00603FDD"/>
    <w:rsid w:val="00615070"/>
    <w:rsid w:val="006501AC"/>
    <w:rsid w:val="006527C8"/>
    <w:rsid w:val="0065285A"/>
    <w:rsid w:val="0067688F"/>
    <w:rsid w:val="006A74B6"/>
    <w:rsid w:val="006B09E1"/>
    <w:rsid w:val="006F07E1"/>
    <w:rsid w:val="006F3CE6"/>
    <w:rsid w:val="007026BA"/>
    <w:rsid w:val="0072303F"/>
    <w:rsid w:val="00742275"/>
    <w:rsid w:val="007443F2"/>
    <w:rsid w:val="00747262"/>
    <w:rsid w:val="00751790"/>
    <w:rsid w:val="00751A56"/>
    <w:rsid w:val="00774038"/>
    <w:rsid w:val="00774155"/>
    <w:rsid w:val="007767C8"/>
    <w:rsid w:val="007874AF"/>
    <w:rsid w:val="0079489C"/>
    <w:rsid w:val="007C0EC4"/>
    <w:rsid w:val="007C58D8"/>
    <w:rsid w:val="007E4846"/>
    <w:rsid w:val="00817039"/>
    <w:rsid w:val="00820EFF"/>
    <w:rsid w:val="00821AA1"/>
    <w:rsid w:val="00825068"/>
    <w:rsid w:val="00825491"/>
    <w:rsid w:val="008279F3"/>
    <w:rsid w:val="00834089"/>
    <w:rsid w:val="008407B2"/>
    <w:rsid w:val="00842516"/>
    <w:rsid w:val="00882C16"/>
    <w:rsid w:val="00883D6F"/>
    <w:rsid w:val="008855C6"/>
    <w:rsid w:val="008C433E"/>
    <w:rsid w:val="008D6F12"/>
    <w:rsid w:val="008E3674"/>
    <w:rsid w:val="008E45E3"/>
    <w:rsid w:val="009110F0"/>
    <w:rsid w:val="00917A7A"/>
    <w:rsid w:val="00924D9F"/>
    <w:rsid w:val="00927980"/>
    <w:rsid w:val="00942888"/>
    <w:rsid w:val="00942F26"/>
    <w:rsid w:val="009508C2"/>
    <w:rsid w:val="00951A49"/>
    <w:rsid w:val="00954FC2"/>
    <w:rsid w:val="00955B36"/>
    <w:rsid w:val="00963E74"/>
    <w:rsid w:val="00963F42"/>
    <w:rsid w:val="00970EF3"/>
    <w:rsid w:val="009728F8"/>
    <w:rsid w:val="009745EC"/>
    <w:rsid w:val="00994F53"/>
    <w:rsid w:val="00995338"/>
    <w:rsid w:val="009A0FC7"/>
    <w:rsid w:val="009A16D8"/>
    <w:rsid w:val="009C23BF"/>
    <w:rsid w:val="009C3E79"/>
    <w:rsid w:val="009C7E13"/>
    <w:rsid w:val="00A074A8"/>
    <w:rsid w:val="00A41E00"/>
    <w:rsid w:val="00A439F2"/>
    <w:rsid w:val="00A85209"/>
    <w:rsid w:val="00A919C8"/>
    <w:rsid w:val="00A93B45"/>
    <w:rsid w:val="00AB2FCC"/>
    <w:rsid w:val="00AB40BF"/>
    <w:rsid w:val="00AB4E67"/>
    <w:rsid w:val="00AD0DF2"/>
    <w:rsid w:val="00AE6F47"/>
    <w:rsid w:val="00AF190F"/>
    <w:rsid w:val="00AF37F9"/>
    <w:rsid w:val="00B02A3F"/>
    <w:rsid w:val="00B03310"/>
    <w:rsid w:val="00B05102"/>
    <w:rsid w:val="00B05A75"/>
    <w:rsid w:val="00B102A5"/>
    <w:rsid w:val="00B30243"/>
    <w:rsid w:val="00B4288C"/>
    <w:rsid w:val="00B54F0C"/>
    <w:rsid w:val="00B6486B"/>
    <w:rsid w:val="00B65CF2"/>
    <w:rsid w:val="00B857A7"/>
    <w:rsid w:val="00BA05F2"/>
    <w:rsid w:val="00BB74DF"/>
    <w:rsid w:val="00BC21FA"/>
    <w:rsid w:val="00BC258A"/>
    <w:rsid w:val="00BE596C"/>
    <w:rsid w:val="00BE6AB0"/>
    <w:rsid w:val="00BF1C88"/>
    <w:rsid w:val="00BF72BB"/>
    <w:rsid w:val="00C23330"/>
    <w:rsid w:val="00C31F35"/>
    <w:rsid w:val="00C42547"/>
    <w:rsid w:val="00C43CE7"/>
    <w:rsid w:val="00C44CAD"/>
    <w:rsid w:val="00C620EC"/>
    <w:rsid w:val="00C65C85"/>
    <w:rsid w:val="00C67E42"/>
    <w:rsid w:val="00C731FD"/>
    <w:rsid w:val="00C85002"/>
    <w:rsid w:val="00C87D47"/>
    <w:rsid w:val="00C93BD8"/>
    <w:rsid w:val="00C967E4"/>
    <w:rsid w:val="00C96C93"/>
    <w:rsid w:val="00CD2A43"/>
    <w:rsid w:val="00CE3870"/>
    <w:rsid w:val="00CE6790"/>
    <w:rsid w:val="00CF05FA"/>
    <w:rsid w:val="00D00DE3"/>
    <w:rsid w:val="00D211B1"/>
    <w:rsid w:val="00D222EC"/>
    <w:rsid w:val="00D22A3C"/>
    <w:rsid w:val="00D23D70"/>
    <w:rsid w:val="00D5008E"/>
    <w:rsid w:val="00D518F0"/>
    <w:rsid w:val="00D634E4"/>
    <w:rsid w:val="00D64183"/>
    <w:rsid w:val="00D70100"/>
    <w:rsid w:val="00D730C6"/>
    <w:rsid w:val="00D76664"/>
    <w:rsid w:val="00D82AD6"/>
    <w:rsid w:val="00D97853"/>
    <w:rsid w:val="00DA26D4"/>
    <w:rsid w:val="00DA7AA5"/>
    <w:rsid w:val="00DC7137"/>
    <w:rsid w:val="00DD7D88"/>
    <w:rsid w:val="00DE4052"/>
    <w:rsid w:val="00DF6DBF"/>
    <w:rsid w:val="00E03E88"/>
    <w:rsid w:val="00E048E0"/>
    <w:rsid w:val="00E12795"/>
    <w:rsid w:val="00E12885"/>
    <w:rsid w:val="00E3769D"/>
    <w:rsid w:val="00E42FA1"/>
    <w:rsid w:val="00E442F9"/>
    <w:rsid w:val="00E56430"/>
    <w:rsid w:val="00E57593"/>
    <w:rsid w:val="00E62621"/>
    <w:rsid w:val="00E74BD5"/>
    <w:rsid w:val="00E834AB"/>
    <w:rsid w:val="00E935C9"/>
    <w:rsid w:val="00EA6AF4"/>
    <w:rsid w:val="00EC3C6C"/>
    <w:rsid w:val="00EC5139"/>
    <w:rsid w:val="00ED1396"/>
    <w:rsid w:val="00ED1D74"/>
    <w:rsid w:val="00EF2439"/>
    <w:rsid w:val="00F202B5"/>
    <w:rsid w:val="00F2132D"/>
    <w:rsid w:val="00F23028"/>
    <w:rsid w:val="00F33318"/>
    <w:rsid w:val="00F352CE"/>
    <w:rsid w:val="00F401F5"/>
    <w:rsid w:val="00F44FBA"/>
    <w:rsid w:val="00F55EE2"/>
    <w:rsid w:val="00F65916"/>
    <w:rsid w:val="00FA3F6B"/>
    <w:rsid w:val="00FA56AD"/>
    <w:rsid w:val="00FA7893"/>
    <w:rsid w:val="00FE65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ABC6"/>
  <w15:docId w15:val="{EED9346D-FFA2-4266-8781-FF94B8C2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65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5A7"/>
    <w:rPr>
      <w:rFonts w:ascii="Tahoma" w:hAnsi="Tahoma" w:cs="Tahoma"/>
      <w:sz w:val="16"/>
      <w:szCs w:val="16"/>
    </w:rPr>
  </w:style>
  <w:style w:type="paragraph" w:styleId="Prrafodelista">
    <w:name w:val="List Paragraph"/>
    <w:basedOn w:val="Normal"/>
    <w:uiPriority w:val="34"/>
    <w:qFormat/>
    <w:rsid w:val="00C44CAD"/>
    <w:pPr>
      <w:ind w:left="720"/>
      <w:contextualSpacing/>
    </w:pPr>
  </w:style>
  <w:style w:type="character" w:styleId="Hipervnculo">
    <w:name w:val="Hyperlink"/>
    <w:basedOn w:val="Fuentedeprrafopredeter"/>
    <w:uiPriority w:val="99"/>
    <w:unhideWhenUsed/>
    <w:rsid w:val="000648F4"/>
    <w:rPr>
      <w:color w:val="0000FF" w:themeColor="hyperlink"/>
      <w:u w:val="single"/>
    </w:rPr>
  </w:style>
  <w:style w:type="paragraph" w:styleId="Encabezado">
    <w:name w:val="header"/>
    <w:basedOn w:val="Normal"/>
    <w:link w:val="EncabezadoCar"/>
    <w:uiPriority w:val="99"/>
    <w:unhideWhenUsed/>
    <w:rsid w:val="00064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8F4"/>
  </w:style>
  <w:style w:type="paragraph" w:styleId="Piedepgina">
    <w:name w:val="footer"/>
    <w:basedOn w:val="Normal"/>
    <w:link w:val="PiedepginaCar"/>
    <w:uiPriority w:val="99"/>
    <w:unhideWhenUsed/>
    <w:rsid w:val="00064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8F4"/>
  </w:style>
  <w:style w:type="paragraph" w:styleId="Sinespaciado">
    <w:name w:val="No Spacing"/>
    <w:uiPriority w:val="1"/>
    <w:qFormat/>
    <w:rsid w:val="00D70100"/>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882C16"/>
  </w:style>
  <w:style w:type="paragraph" w:customStyle="1" w:styleId="Standard">
    <w:name w:val="Standard"/>
    <w:rsid w:val="00C731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741">
      <w:bodyDiv w:val="1"/>
      <w:marLeft w:val="0"/>
      <w:marRight w:val="0"/>
      <w:marTop w:val="0"/>
      <w:marBottom w:val="0"/>
      <w:divBdr>
        <w:top w:val="none" w:sz="0" w:space="0" w:color="auto"/>
        <w:left w:val="none" w:sz="0" w:space="0" w:color="auto"/>
        <w:bottom w:val="none" w:sz="0" w:space="0" w:color="auto"/>
        <w:right w:val="none" w:sz="0" w:space="0" w:color="auto"/>
      </w:divBdr>
    </w:div>
    <w:div w:id="1249803506">
      <w:bodyDiv w:val="1"/>
      <w:marLeft w:val="0"/>
      <w:marRight w:val="0"/>
      <w:marTop w:val="0"/>
      <w:marBottom w:val="0"/>
      <w:divBdr>
        <w:top w:val="none" w:sz="0" w:space="0" w:color="auto"/>
        <w:left w:val="none" w:sz="0" w:space="0" w:color="auto"/>
        <w:bottom w:val="none" w:sz="0" w:space="0" w:color="auto"/>
        <w:right w:val="none" w:sz="0" w:space="0" w:color="auto"/>
      </w:divBdr>
    </w:div>
    <w:div w:id="18228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acjpu.com" TargetMode="External"/><Relationship Id="rId1" Type="http://schemas.openxmlformats.org/officeDocument/2006/relationships/hyperlink" Target="mailto:acpu2@adinet.com.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71DE-6088-47C7-8FEF-311ACE3A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DiMauro</dc:creator>
  <cp:lastModifiedBy>Cristina</cp:lastModifiedBy>
  <cp:revision>6</cp:revision>
  <cp:lastPrinted>2024-02-16T13:19:00Z</cp:lastPrinted>
  <dcterms:created xsi:type="dcterms:W3CDTF">2024-02-15T19:23:00Z</dcterms:created>
  <dcterms:modified xsi:type="dcterms:W3CDTF">2024-04-01T13:53:00Z</dcterms:modified>
</cp:coreProperties>
</file>